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43" w:type="dxa"/>
        <w:tblBorders>
          <w:top w:val="single" w:sz="6" w:space="0" w:color="666666"/>
          <w:left w:val="single" w:sz="6" w:space="0" w:color="666666"/>
          <w:bottom w:val="single" w:sz="6" w:space="0" w:color="666666"/>
          <w:right w:val="single" w:sz="6" w:space="0" w:color="666666"/>
        </w:tblBorders>
        <w:tblCellMar>
          <w:top w:w="20" w:type="dxa"/>
          <w:left w:w="20" w:type="dxa"/>
          <w:bottom w:w="20" w:type="dxa"/>
          <w:right w:w="20" w:type="dxa"/>
        </w:tblCellMar>
        <w:tblLook w:val="04A0" w:firstRow="1" w:lastRow="0" w:firstColumn="1" w:lastColumn="0" w:noHBand="0" w:noVBand="1"/>
      </w:tblPr>
      <w:tblGrid>
        <w:gridCol w:w="1805"/>
        <w:gridCol w:w="5293"/>
        <w:gridCol w:w="8345"/>
      </w:tblGrid>
      <w:tr w:rsidR="00FE06BE" w:rsidRPr="00394606" w:rsidTr="00FE06BE">
        <w:trPr>
          <w:trHeight w:val="786"/>
        </w:trPr>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tcPr>
          <w:p w:rsidR="00FE06BE" w:rsidRPr="00394606" w:rsidRDefault="00FE06BE" w:rsidP="00CA326F">
            <w:pPr>
              <w:spacing w:before="300" w:after="300"/>
              <w:rPr>
                <w:rFonts w:eastAsia="Times New Roman" w:cs="Calibri"/>
                <w:b/>
                <w:bCs/>
                <w:color w:val="000000"/>
                <w:sz w:val="28"/>
                <w:szCs w:val="28"/>
                <w:lang w:eastAsia="en-GB"/>
              </w:rPr>
            </w:pPr>
            <w:bookmarkStart w:id="0" w:name="_GoBack"/>
            <w:bookmarkEnd w:id="0"/>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tcPr>
          <w:p w:rsidR="00FE06BE" w:rsidRPr="00394606" w:rsidRDefault="00FE06BE" w:rsidP="00FE06BE">
            <w:pPr>
              <w:spacing w:before="300" w:after="300"/>
              <w:jc w:val="both"/>
              <w:rPr>
                <w:rFonts w:eastAsia="Times New Roman" w:cs="Calibri"/>
                <w:b/>
                <w:bCs/>
                <w:color w:val="000000"/>
                <w:sz w:val="32"/>
                <w:szCs w:val="32"/>
                <w:lang w:eastAsia="en-GB"/>
              </w:rPr>
            </w:pPr>
            <w:r w:rsidRPr="00394606">
              <w:rPr>
                <w:rFonts w:eastAsia="Times New Roman" w:cs="Calibri"/>
                <w:b/>
                <w:bCs/>
                <w:color w:val="000000"/>
                <w:sz w:val="32"/>
                <w:szCs w:val="32"/>
                <w:lang w:eastAsia="en-GB"/>
              </w:rPr>
              <w:t>PRE-SETTLED STATUS</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tcPr>
          <w:p w:rsidR="00FE06BE" w:rsidRPr="00394606" w:rsidRDefault="00FE06BE" w:rsidP="00FE06BE">
            <w:pPr>
              <w:spacing w:before="300" w:after="300"/>
              <w:jc w:val="both"/>
              <w:rPr>
                <w:rFonts w:eastAsia="Times New Roman" w:cs="Calibri"/>
                <w:b/>
                <w:bCs/>
                <w:color w:val="000000"/>
                <w:sz w:val="32"/>
                <w:szCs w:val="32"/>
                <w:lang w:eastAsia="en-GB"/>
              </w:rPr>
            </w:pPr>
            <w:r w:rsidRPr="00394606">
              <w:rPr>
                <w:rFonts w:eastAsia="Times New Roman" w:cs="Calibri"/>
                <w:b/>
                <w:bCs/>
                <w:color w:val="000000"/>
                <w:sz w:val="32"/>
                <w:szCs w:val="32"/>
                <w:lang w:eastAsia="en-GB"/>
              </w:rPr>
              <w:t>SETTLED STATUS</w:t>
            </w:r>
          </w:p>
        </w:tc>
      </w:tr>
      <w:tr w:rsidR="00FE06BE" w:rsidRPr="00394606" w:rsidTr="00FE06BE">
        <w:trPr>
          <w:trHeight w:val="704"/>
        </w:trPr>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spacing w:before="300" w:after="300"/>
              <w:rPr>
                <w:rFonts w:eastAsia="Times New Roman" w:cs="Calibri"/>
                <w:color w:val="000000"/>
                <w:sz w:val="28"/>
                <w:szCs w:val="28"/>
                <w:lang w:eastAsia="en-GB"/>
              </w:rPr>
            </w:pPr>
            <w:r w:rsidRPr="00394606">
              <w:rPr>
                <w:rFonts w:eastAsia="Times New Roman" w:cs="Calibri"/>
                <w:b/>
                <w:bCs/>
                <w:color w:val="000000"/>
                <w:sz w:val="28"/>
                <w:szCs w:val="28"/>
                <w:lang w:eastAsia="en-GB"/>
              </w:rPr>
              <w:t>What is it?</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before="300" w:after="300"/>
              <w:jc w:val="both"/>
              <w:rPr>
                <w:rFonts w:eastAsia="Times New Roman" w:cs="Calibri"/>
                <w:color w:val="000000"/>
                <w:sz w:val="22"/>
                <w:szCs w:val="22"/>
                <w:lang w:eastAsia="en-GB"/>
              </w:rPr>
            </w:pPr>
            <w:r w:rsidRPr="00394606">
              <w:rPr>
                <w:rFonts w:eastAsia="Times New Roman" w:cs="Calibri"/>
                <w:color w:val="000000"/>
                <w:sz w:val="22"/>
                <w:szCs w:val="22"/>
                <w:lang w:eastAsia="en-GB"/>
              </w:rPr>
              <w:t>UK immigration status called</w:t>
            </w:r>
            <w:r w:rsidRPr="00394606">
              <w:rPr>
                <w:rFonts w:eastAsia="Times New Roman" w:cs="Calibri"/>
                <w:b/>
                <w:bCs/>
                <w:color w:val="000000"/>
                <w:sz w:val="22"/>
                <w:szCs w:val="22"/>
                <w:lang w:eastAsia="en-GB"/>
              </w:rPr>
              <w:t> Limited </w:t>
            </w:r>
            <w:r w:rsidRPr="00394606">
              <w:rPr>
                <w:rFonts w:eastAsia="Times New Roman" w:cs="Calibri"/>
                <w:color w:val="000000"/>
                <w:sz w:val="22"/>
                <w:szCs w:val="22"/>
                <w:lang w:eastAsia="en-GB"/>
              </w:rPr>
              <w:t>Leave to Remain</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before="300" w:after="300"/>
              <w:jc w:val="both"/>
              <w:rPr>
                <w:rFonts w:eastAsia="Times New Roman" w:cs="Calibri"/>
                <w:color w:val="000000"/>
                <w:sz w:val="22"/>
                <w:szCs w:val="22"/>
                <w:lang w:eastAsia="en-GB"/>
              </w:rPr>
            </w:pPr>
            <w:r w:rsidRPr="00394606">
              <w:rPr>
                <w:rFonts w:eastAsia="Times New Roman" w:cs="Calibri"/>
                <w:color w:val="000000"/>
                <w:sz w:val="22"/>
                <w:szCs w:val="22"/>
                <w:lang w:eastAsia="en-GB"/>
              </w:rPr>
              <w:t>UK immigration status called </w:t>
            </w:r>
            <w:r w:rsidRPr="00394606">
              <w:rPr>
                <w:rFonts w:eastAsia="Times New Roman" w:cs="Calibri"/>
                <w:b/>
                <w:bCs/>
                <w:color w:val="000000"/>
                <w:sz w:val="22"/>
                <w:szCs w:val="22"/>
                <w:lang w:eastAsia="en-GB"/>
              </w:rPr>
              <w:t>Indefinite </w:t>
            </w:r>
            <w:r w:rsidRPr="00394606">
              <w:rPr>
                <w:rFonts w:eastAsia="Times New Roman" w:cs="Calibri"/>
                <w:color w:val="000000"/>
                <w:sz w:val="22"/>
                <w:szCs w:val="22"/>
                <w:lang w:eastAsia="en-GB"/>
              </w:rPr>
              <w:t>Leave to Remain</w:t>
            </w:r>
          </w:p>
        </w:tc>
      </w:tr>
      <w:tr w:rsidR="00FE06BE" w:rsidRPr="00394606" w:rsidTr="00FE06BE">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rPr>
                <w:rFonts w:eastAsia="Times New Roman" w:cs="Calibri"/>
                <w:color w:val="000000"/>
                <w:sz w:val="28"/>
                <w:szCs w:val="28"/>
                <w:lang w:eastAsia="en-GB"/>
              </w:rPr>
            </w:pPr>
            <w:r w:rsidRPr="00394606">
              <w:rPr>
                <w:rFonts w:eastAsia="Times New Roman" w:cs="Calibri"/>
                <w:b/>
                <w:bCs/>
                <w:color w:val="000000"/>
                <w:sz w:val="28"/>
                <w:szCs w:val="28"/>
                <w:lang w:eastAsia="en-GB"/>
              </w:rPr>
              <w:t>Who is</w:t>
            </w:r>
            <w:r w:rsidRPr="00394606">
              <w:rPr>
                <w:rFonts w:eastAsia="Times New Roman" w:cs="Calibri"/>
                <w:b/>
                <w:bCs/>
                <w:color w:val="000000"/>
                <w:sz w:val="28"/>
                <w:szCs w:val="28"/>
                <w:lang w:eastAsia="en-GB"/>
              </w:rPr>
              <w:br/>
              <w:t xml:space="preserve">it </w:t>
            </w:r>
            <w:proofErr w:type="gramStart"/>
            <w:r w:rsidRPr="00394606">
              <w:rPr>
                <w:rFonts w:eastAsia="Times New Roman" w:cs="Calibri"/>
                <w:b/>
                <w:bCs/>
                <w:color w:val="000000"/>
                <w:sz w:val="28"/>
                <w:szCs w:val="28"/>
                <w:lang w:eastAsia="en-GB"/>
              </w:rPr>
              <w:t>for</w:t>
            </w:r>
            <w:proofErr w:type="gramEnd"/>
            <w:r w:rsidRPr="00394606">
              <w:rPr>
                <w:rFonts w:eastAsia="Times New Roman" w:cs="Calibri"/>
                <w:b/>
                <w:bCs/>
                <w:color w:val="000000"/>
                <w:sz w:val="28"/>
                <w:szCs w:val="28"/>
                <w:lang w:eastAsia="en-GB"/>
              </w:rPr>
              <w:t>?</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jc w:val="both"/>
              <w:rPr>
                <w:rFonts w:eastAsia="Times New Roman" w:cs="Calibri"/>
                <w:color w:val="000000"/>
                <w:sz w:val="22"/>
                <w:szCs w:val="22"/>
                <w:lang w:eastAsia="en-GB"/>
              </w:rPr>
            </w:pPr>
            <w:r w:rsidRPr="00394606">
              <w:rPr>
                <w:rFonts w:eastAsia="Times New Roman" w:cs="Calibri"/>
                <w:color w:val="000000"/>
                <w:sz w:val="22"/>
                <w:szCs w:val="22"/>
                <w:lang w:eastAsia="en-GB"/>
              </w:rPr>
              <w:t>EU, EEA, Swiss citizens and their family members who</w:t>
            </w:r>
          </w:p>
          <w:p w:rsidR="00FE06BE" w:rsidRPr="00394606" w:rsidRDefault="00FE06BE" w:rsidP="00FE06BE">
            <w:pPr>
              <w:numPr>
                <w:ilvl w:val="0"/>
                <w:numId w:val="1"/>
              </w:numPr>
              <w:spacing w:before="100" w:beforeAutospacing="1" w:after="240"/>
              <w:jc w:val="both"/>
              <w:rPr>
                <w:rFonts w:eastAsia="Times New Roman" w:cs="Calibri"/>
                <w:color w:val="000000"/>
                <w:sz w:val="22"/>
                <w:szCs w:val="22"/>
                <w:lang w:eastAsia="en-GB"/>
              </w:rPr>
            </w:pPr>
            <w:r w:rsidRPr="00394606">
              <w:rPr>
                <w:rFonts w:eastAsia="Times New Roman" w:cs="Calibri"/>
                <w:color w:val="000000"/>
                <w:sz w:val="22"/>
                <w:szCs w:val="22"/>
                <w:lang w:eastAsia="en-GB"/>
              </w:rPr>
              <w:t>reside in the UK by 31 December 2020</w:t>
            </w:r>
          </w:p>
          <w:p w:rsidR="00FE06BE" w:rsidRPr="00394606" w:rsidRDefault="00FE06BE" w:rsidP="00FE06BE">
            <w:pPr>
              <w:numPr>
                <w:ilvl w:val="0"/>
                <w:numId w:val="1"/>
              </w:numPr>
              <w:spacing w:before="100" w:beforeAutospacing="1" w:after="240"/>
              <w:jc w:val="both"/>
              <w:rPr>
                <w:rFonts w:eastAsia="Times New Roman" w:cs="Calibri"/>
                <w:color w:val="000000"/>
                <w:sz w:val="22"/>
                <w:szCs w:val="22"/>
                <w:lang w:eastAsia="en-GB"/>
              </w:rPr>
            </w:pPr>
            <w:r w:rsidRPr="00394606">
              <w:rPr>
                <w:rFonts w:eastAsia="Times New Roman" w:cs="Calibri"/>
                <w:color w:val="000000"/>
                <w:sz w:val="22"/>
                <w:szCs w:val="22"/>
                <w:lang w:eastAsia="en-GB"/>
              </w:rPr>
              <w:t>have no serious criminal record</w:t>
            </w:r>
          </w:p>
          <w:p w:rsidR="00FE06BE" w:rsidRPr="00394606" w:rsidRDefault="00FE06BE" w:rsidP="00FE06BE">
            <w:pPr>
              <w:numPr>
                <w:ilvl w:val="0"/>
                <w:numId w:val="1"/>
              </w:numPr>
              <w:spacing w:before="100" w:beforeAutospacing="1"/>
              <w:jc w:val="both"/>
              <w:rPr>
                <w:rFonts w:eastAsia="Times New Roman" w:cs="Calibri"/>
                <w:color w:val="000000"/>
                <w:sz w:val="22"/>
                <w:szCs w:val="22"/>
                <w:lang w:eastAsia="en-GB"/>
              </w:rPr>
            </w:pPr>
            <w:r w:rsidRPr="00394606">
              <w:rPr>
                <w:rFonts w:eastAsia="Times New Roman" w:cs="Calibri"/>
                <w:color w:val="000000"/>
                <w:sz w:val="22"/>
                <w:szCs w:val="22"/>
                <w:lang w:eastAsia="en-GB"/>
              </w:rPr>
              <w:t>have lived in the UK for </w:t>
            </w:r>
            <w:r w:rsidRPr="00394606">
              <w:rPr>
                <w:rFonts w:eastAsia="Times New Roman" w:cs="Calibri"/>
                <w:b/>
                <w:bCs/>
                <w:color w:val="000000"/>
                <w:sz w:val="22"/>
                <w:szCs w:val="22"/>
                <w:lang w:eastAsia="en-GB"/>
              </w:rPr>
              <w:t>less than five years </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jc w:val="both"/>
              <w:rPr>
                <w:rFonts w:eastAsia="Times New Roman" w:cs="Calibri"/>
                <w:color w:val="000000"/>
                <w:sz w:val="22"/>
                <w:szCs w:val="22"/>
                <w:lang w:eastAsia="en-GB"/>
              </w:rPr>
            </w:pPr>
            <w:r w:rsidRPr="00394606">
              <w:rPr>
                <w:rFonts w:eastAsia="Times New Roman" w:cs="Calibri"/>
                <w:color w:val="000000"/>
                <w:sz w:val="22"/>
                <w:szCs w:val="22"/>
                <w:lang w:eastAsia="en-GB"/>
              </w:rPr>
              <w:t>EU, EEA, Swiss citizens and their family members who</w:t>
            </w:r>
          </w:p>
          <w:p w:rsidR="00FE06BE" w:rsidRPr="00394606" w:rsidRDefault="00FE06BE" w:rsidP="00FE06BE">
            <w:pPr>
              <w:numPr>
                <w:ilvl w:val="0"/>
                <w:numId w:val="2"/>
              </w:numPr>
              <w:spacing w:before="100" w:beforeAutospacing="1" w:after="240"/>
              <w:jc w:val="both"/>
              <w:rPr>
                <w:rFonts w:eastAsia="Times New Roman" w:cs="Calibri"/>
                <w:color w:val="000000"/>
                <w:sz w:val="22"/>
                <w:szCs w:val="22"/>
                <w:lang w:eastAsia="en-GB"/>
              </w:rPr>
            </w:pPr>
            <w:r w:rsidRPr="00394606">
              <w:rPr>
                <w:rFonts w:eastAsia="Times New Roman" w:cs="Calibri"/>
                <w:color w:val="000000"/>
                <w:sz w:val="22"/>
                <w:szCs w:val="22"/>
                <w:lang w:eastAsia="en-GB"/>
              </w:rPr>
              <w:t>reside in the UK by 31 December 2020</w:t>
            </w:r>
          </w:p>
          <w:p w:rsidR="00FE06BE" w:rsidRPr="00394606" w:rsidRDefault="00FE06BE" w:rsidP="00FE06BE">
            <w:pPr>
              <w:numPr>
                <w:ilvl w:val="0"/>
                <w:numId w:val="2"/>
              </w:numPr>
              <w:spacing w:before="100" w:beforeAutospacing="1" w:after="240"/>
              <w:jc w:val="both"/>
              <w:rPr>
                <w:rFonts w:eastAsia="Times New Roman" w:cs="Calibri"/>
                <w:color w:val="000000"/>
                <w:sz w:val="22"/>
                <w:szCs w:val="22"/>
                <w:lang w:eastAsia="en-GB"/>
              </w:rPr>
            </w:pPr>
            <w:r w:rsidRPr="00394606">
              <w:rPr>
                <w:rFonts w:eastAsia="Times New Roman" w:cs="Calibri"/>
                <w:color w:val="000000"/>
                <w:sz w:val="22"/>
                <w:szCs w:val="22"/>
                <w:lang w:eastAsia="en-GB"/>
              </w:rPr>
              <w:t>have no serious criminal record</w:t>
            </w:r>
          </w:p>
          <w:p w:rsidR="00FE06BE" w:rsidRPr="00394606" w:rsidRDefault="00FE06BE" w:rsidP="00FE06BE">
            <w:pPr>
              <w:numPr>
                <w:ilvl w:val="0"/>
                <w:numId w:val="2"/>
              </w:numPr>
              <w:spacing w:before="100" w:beforeAutospacing="1"/>
              <w:jc w:val="both"/>
              <w:rPr>
                <w:rFonts w:eastAsia="Times New Roman" w:cs="Calibri"/>
                <w:color w:val="000000"/>
                <w:sz w:val="22"/>
                <w:szCs w:val="22"/>
                <w:lang w:eastAsia="en-GB"/>
              </w:rPr>
            </w:pPr>
            <w:proofErr w:type="gramStart"/>
            <w:r w:rsidRPr="00394606">
              <w:rPr>
                <w:rFonts w:eastAsia="Times New Roman" w:cs="Calibri"/>
                <w:color w:val="000000"/>
                <w:sz w:val="22"/>
                <w:szCs w:val="22"/>
                <w:lang w:eastAsia="en-GB"/>
              </w:rPr>
              <w:t>have</w:t>
            </w:r>
            <w:proofErr w:type="gramEnd"/>
            <w:r w:rsidRPr="00394606">
              <w:rPr>
                <w:rFonts w:eastAsia="Times New Roman" w:cs="Calibri"/>
                <w:color w:val="000000"/>
                <w:sz w:val="22"/>
                <w:szCs w:val="22"/>
                <w:lang w:eastAsia="en-GB"/>
              </w:rPr>
              <w:t xml:space="preserve"> lived in the UK for </w:t>
            </w:r>
            <w:r w:rsidRPr="00394606">
              <w:rPr>
                <w:rFonts w:eastAsia="Times New Roman" w:cs="Calibri"/>
                <w:b/>
                <w:bCs/>
                <w:color w:val="000000"/>
                <w:sz w:val="22"/>
                <w:szCs w:val="22"/>
                <w:lang w:eastAsia="en-GB"/>
              </w:rPr>
              <w:t>at least five years</w:t>
            </w:r>
            <w:r w:rsidRPr="00394606">
              <w:rPr>
                <w:rFonts w:eastAsia="Times New Roman" w:cs="Calibri"/>
                <w:color w:val="000000"/>
                <w:sz w:val="22"/>
                <w:szCs w:val="22"/>
                <w:lang w:eastAsia="en-GB"/>
              </w:rPr>
              <w:t>, during which time they spent less than six months abroad in any 12-month period (unless for compulsory military service, a single absence of 6-12 months may be allowed for an "important reason"). This is called </w:t>
            </w:r>
            <w:r w:rsidRPr="00394606">
              <w:rPr>
                <w:rFonts w:eastAsia="Times New Roman" w:cs="Calibri"/>
                <w:b/>
                <w:bCs/>
                <w:color w:val="000000"/>
                <w:sz w:val="22"/>
                <w:szCs w:val="22"/>
                <w:lang w:eastAsia="en-GB"/>
              </w:rPr>
              <w:t>"continuous residence"</w:t>
            </w:r>
          </w:p>
        </w:tc>
      </w:tr>
      <w:tr w:rsidR="00FE06BE" w:rsidRPr="00394606" w:rsidTr="00FE06BE">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rPr>
                <w:rFonts w:eastAsia="Times New Roman" w:cs="Calibri"/>
                <w:color w:val="000000"/>
                <w:sz w:val="28"/>
                <w:szCs w:val="28"/>
                <w:lang w:eastAsia="en-GB"/>
              </w:rPr>
            </w:pPr>
            <w:r w:rsidRPr="00394606">
              <w:rPr>
                <w:rFonts w:eastAsia="Times New Roman" w:cs="Calibri"/>
                <w:b/>
                <w:bCs/>
                <w:color w:val="000000"/>
                <w:sz w:val="28"/>
                <w:szCs w:val="28"/>
                <w:lang w:eastAsia="en-GB"/>
              </w:rPr>
              <w:t>How long</w:t>
            </w:r>
            <w:r w:rsidRPr="00394606">
              <w:rPr>
                <w:rFonts w:eastAsia="Times New Roman" w:cs="Calibri"/>
                <w:b/>
                <w:bCs/>
                <w:color w:val="000000"/>
                <w:sz w:val="28"/>
                <w:szCs w:val="28"/>
                <w:lang w:eastAsia="en-GB"/>
              </w:rPr>
              <w:br/>
              <w:t>is it granted</w:t>
            </w:r>
            <w:r w:rsidRPr="00394606">
              <w:rPr>
                <w:rFonts w:eastAsia="Times New Roman" w:cs="Calibri"/>
                <w:b/>
                <w:bCs/>
                <w:color w:val="000000"/>
                <w:sz w:val="28"/>
                <w:szCs w:val="28"/>
                <w:lang w:eastAsia="en-GB"/>
              </w:rPr>
              <w:br/>
            </w:r>
            <w:proofErr w:type="gramStart"/>
            <w:r w:rsidRPr="00394606">
              <w:rPr>
                <w:rFonts w:eastAsia="Times New Roman" w:cs="Calibri"/>
                <w:b/>
                <w:bCs/>
                <w:color w:val="000000"/>
                <w:sz w:val="28"/>
                <w:szCs w:val="28"/>
                <w:lang w:eastAsia="en-GB"/>
              </w:rPr>
              <w:t>for</w:t>
            </w:r>
            <w:proofErr w:type="gramEnd"/>
            <w:r w:rsidRPr="00394606">
              <w:rPr>
                <w:rFonts w:eastAsia="Times New Roman" w:cs="Calibri"/>
                <w:b/>
                <w:bCs/>
                <w:color w:val="000000"/>
                <w:sz w:val="28"/>
                <w:szCs w:val="28"/>
                <w:lang w:eastAsia="en-GB"/>
              </w:rPr>
              <w:t>?</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after="240"/>
              <w:jc w:val="both"/>
              <w:rPr>
                <w:rFonts w:eastAsia="Times New Roman" w:cs="Calibri"/>
                <w:color w:val="000000"/>
                <w:sz w:val="22"/>
                <w:szCs w:val="22"/>
                <w:lang w:eastAsia="en-GB"/>
              </w:rPr>
            </w:pPr>
            <w:r w:rsidRPr="00394606">
              <w:rPr>
                <w:rFonts w:eastAsia="Times New Roman" w:cs="Calibri"/>
                <w:b/>
                <w:bCs/>
                <w:color w:val="000000"/>
                <w:sz w:val="22"/>
                <w:szCs w:val="22"/>
                <w:lang w:eastAsia="en-GB"/>
              </w:rPr>
              <w:t>For five years</w:t>
            </w:r>
            <w:r w:rsidRPr="00394606">
              <w:rPr>
                <w:rFonts w:eastAsia="Times New Roman" w:cs="Calibri"/>
                <w:color w:val="000000"/>
                <w:sz w:val="22"/>
                <w:szCs w:val="22"/>
                <w:lang w:eastAsia="en-GB"/>
              </w:rPr>
              <w:t>, but you will lose it if you leave the UK for a period of two consecutive years.</w:t>
            </w:r>
          </w:p>
          <w:p w:rsidR="00FE06BE" w:rsidRPr="00394606" w:rsidRDefault="00FE06BE" w:rsidP="00FE06BE">
            <w:pPr>
              <w:spacing w:after="240"/>
              <w:jc w:val="both"/>
              <w:rPr>
                <w:rFonts w:eastAsia="Times New Roman" w:cs="Calibri"/>
                <w:color w:val="000000"/>
                <w:sz w:val="22"/>
                <w:szCs w:val="22"/>
                <w:lang w:eastAsia="en-GB"/>
              </w:rPr>
            </w:pPr>
            <w:r w:rsidRPr="00394606">
              <w:rPr>
                <w:rFonts w:eastAsia="Times New Roman" w:cs="Calibri"/>
                <w:color w:val="000000"/>
                <w:sz w:val="22"/>
                <w:szCs w:val="22"/>
                <w:lang w:eastAsia="en-GB"/>
              </w:rPr>
              <w:t>However, it should be noted that in order to qualify for ‘settled status’ you will have to have continuously lived in the UK for 5 years or more and have not spent over 6 months overseas in any 12 months period. </w:t>
            </w:r>
          </w:p>
          <w:p w:rsidR="00FE06BE" w:rsidRPr="00394606" w:rsidRDefault="00FE06BE" w:rsidP="00FE06BE">
            <w:pPr>
              <w:spacing w:after="240"/>
              <w:jc w:val="both"/>
              <w:rPr>
                <w:rFonts w:eastAsia="Times New Roman" w:cs="Calibri"/>
                <w:color w:val="000000"/>
                <w:sz w:val="22"/>
                <w:szCs w:val="22"/>
                <w:lang w:eastAsia="en-GB"/>
              </w:rPr>
            </w:pPr>
            <w:proofErr w:type="gramStart"/>
            <w:r w:rsidRPr="00394606">
              <w:rPr>
                <w:rFonts w:eastAsia="Times New Roman" w:cs="Calibri"/>
                <w:color w:val="000000"/>
                <w:sz w:val="22"/>
                <w:szCs w:val="22"/>
                <w:lang w:eastAsia="en-GB"/>
              </w:rPr>
              <w:t xml:space="preserve">Please note that if you are granted pre-settled status on the basis of your residence in the UK before the end of the transition period (31 December 2020) you would not meet the requirements for an extension of pre-settled </w:t>
            </w:r>
            <w:r w:rsidRPr="00394606">
              <w:rPr>
                <w:rFonts w:eastAsia="Times New Roman" w:cs="Calibri"/>
                <w:color w:val="000000"/>
                <w:sz w:val="22"/>
                <w:szCs w:val="22"/>
                <w:lang w:eastAsia="en-GB"/>
              </w:rPr>
              <w:lastRenderedPageBreak/>
              <w:t>status if, after that date (31 December 2020), you break the continuity of your residence by being outside the UK for more than 6 months in any 12-month period regardless of whether you returned to the UK within 2 years, thus retaining pre-settled status. </w:t>
            </w:r>
            <w:proofErr w:type="gramEnd"/>
          </w:p>
          <w:p w:rsidR="00FE06BE" w:rsidRPr="00394606" w:rsidRDefault="00FE06BE" w:rsidP="00FE06BE">
            <w:pPr>
              <w:jc w:val="both"/>
              <w:rPr>
                <w:rFonts w:eastAsia="Times New Roman" w:cs="Calibri"/>
                <w:color w:val="000000"/>
                <w:sz w:val="22"/>
                <w:szCs w:val="22"/>
                <w:lang w:eastAsia="en-GB"/>
              </w:rPr>
            </w:pPr>
            <w:r w:rsidRPr="00394606">
              <w:rPr>
                <w:rFonts w:eastAsia="Times New Roman" w:cs="Calibri"/>
                <w:color w:val="000000"/>
                <w:sz w:val="22"/>
                <w:szCs w:val="22"/>
                <w:lang w:eastAsia="en-GB"/>
              </w:rPr>
              <w:t xml:space="preserve">It </w:t>
            </w:r>
            <w:proofErr w:type="gramStart"/>
            <w:r w:rsidRPr="00394606">
              <w:rPr>
                <w:rFonts w:eastAsia="Times New Roman" w:cs="Calibri"/>
                <w:color w:val="000000"/>
                <w:sz w:val="22"/>
                <w:szCs w:val="22"/>
                <w:lang w:eastAsia="en-GB"/>
              </w:rPr>
              <w:t>can also be revoked</w:t>
            </w:r>
            <w:proofErr w:type="gramEnd"/>
            <w:r w:rsidRPr="00394606">
              <w:rPr>
                <w:rFonts w:eastAsia="Times New Roman" w:cs="Calibri"/>
                <w:color w:val="000000"/>
                <w:sz w:val="22"/>
                <w:szCs w:val="22"/>
                <w:lang w:eastAsia="en-GB"/>
              </w:rPr>
              <w:t xml:space="preserve"> for subsequent criminal offending.</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after="240"/>
              <w:jc w:val="both"/>
              <w:rPr>
                <w:rFonts w:eastAsia="Times New Roman" w:cs="Calibri"/>
                <w:color w:val="000000"/>
                <w:sz w:val="22"/>
                <w:szCs w:val="22"/>
                <w:lang w:eastAsia="en-GB"/>
              </w:rPr>
            </w:pPr>
            <w:r w:rsidRPr="00394606">
              <w:rPr>
                <w:rFonts w:eastAsia="Times New Roman" w:cs="Calibri"/>
                <w:b/>
                <w:bCs/>
                <w:color w:val="000000"/>
                <w:sz w:val="22"/>
                <w:szCs w:val="22"/>
                <w:lang w:eastAsia="en-GB"/>
              </w:rPr>
              <w:lastRenderedPageBreak/>
              <w:t>Forever, </w:t>
            </w:r>
            <w:r w:rsidRPr="00394606">
              <w:rPr>
                <w:rFonts w:eastAsia="Times New Roman" w:cs="Calibri"/>
                <w:color w:val="000000"/>
                <w:sz w:val="22"/>
                <w:szCs w:val="22"/>
                <w:lang w:eastAsia="en-GB"/>
              </w:rPr>
              <w:t>but you will lose it if you leave the UK for a period of five consecutive years (four years for Swiss citizens).</w:t>
            </w:r>
          </w:p>
          <w:p w:rsidR="00FE06BE" w:rsidRPr="00394606" w:rsidRDefault="00FE06BE" w:rsidP="00FE06BE">
            <w:pPr>
              <w:jc w:val="both"/>
              <w:rPr>
                <w:rFonts w:eastAsia="Times New Roman" w:cs="Calibri"/>
                <w:color w:val="000000"/>
                <w:sz w:val="22"/>
                <w:szCs w:val="22"/>
                <w:lang w:eastAsia="en-GB"/>
              </w:rPr>
            </w:pPr>
            <w:r w:rsidRPr="00394606">
              <w:rPr>
                <w:rFonts w:eastAsia="Times New Roman" w:cs="Calibri"/>
                <w:color w:val="000000"/>
                <w:sz w:val="22"/>
                <w:szCs w:val="22"/>
                <w:lang w:eastAsia="en-GB"/>
              </w:rPr>
              <w:t xml:space="preserve">It </w:t>
            </w:r>
            <w:proofErr w:type="gramStart"/>
            <w:r w:rsidRPr="00394606">
              <w:rPr>
                <w:rFonts w:eastAsia="Times New Roman" w:cs="Calibri"/>
                <w:color w:val="000000"/>
                <w:sz w:val="22"/>
                <w:szCs w:val="22"/>
                <w:lang w:eastAsia="en-GB"/>
              </w:rPr>
              <w:t>can also be revoked</w:t>
            </w:r>
            <w:proofErr w:type="gramEnd"/>
            <w:r w:rsidRPr="00394606">
              <w:rPr>
                <w:rFonts w:eastAsia="Times New Roman" w:cs="Calibri"/>
                <w:color w:val="000000"/>
                <w:sz w:val="22"/>
                <w:szCs w:val="22"/>
                <w:lang w:eastAsia="en-GB"/>
              </w:rPr>
              <w:t xml:space="preserve"> for subsequent criminal offending. </w:t>
            </w:r>
          </w:p>
        </w:tc>
      </w:tr>
      <w:tr w:rsidR="00FE06BE" w:rsidRPr="00394606" w:rsidTr="00FE06BE">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rPr>
                <w:rFonts w:eastAsia="Times New Roman" w:cs="Calibri"/>
                <w:color w:val="000000"/>
                <w:sz w:val="28"/>
                <w:szCs w:val="28"/>
                <w:lang w:eastAsia="en-GB"/>
              </w:rPr>
            </w:pPr>
            <w:r w:rsidRPr="00394606">
              <w:rPr>
                <w:rFonts w:eastAsia="Times New Roman" w:cs="Calibri"/>
                <w:b/>
                <w:bCs/>
                <w:color w:val="000000"/>
                <w:sz w:val="28"/>
                <w:szCs w:val="28"/>
                <w:lang w:eastAsia="en-GB"/>
              </w:rPr>
              <w:t>When do</w:t>
            </w:r>
            <w:r w:rsidRPr="00394606">
              <w:rPr>
                <w:rFonts w:eastAsia="Times New Roman" w:cs="Calibri"/>
                <w:b/>
                <w:bCs/>
                <w:color w:val="000000"/>
                <w:sz w:val="28"/>
                <w:szCs w:val="28"/>
                <w:lang w:eastAsia="en-GB"/>
              </w:rPr>
              <w:br/>
              <w:t>I need to</w:t>
            </w:r>
            <w:r w:rsidRPr="00394606">
              <w:rPr>
                <w:rFonts w:eastAsia="Times New Roman" w:cs="Calibri"/>
                <w:b/>
                <w:bCs/>
                <w:color w:val="000000"/>
                <w:sz w:val="28"/>
                <w:szCs w:val="28"/>
                <w:lang w:eastAsia="en-GB"/>
              </w:rPr>
              <w:br/>
              <w:t>re-apply?</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rPr>
                <w:rFonts w:eastAsia="Times New Roman" w:cs="Calibri"/>
                <w:color w:val="000000"/>
                <w:sz w:val="22"/>
                <w:szCs w:val="22"/>
                <w:lang w:eastAsia="en-GB"/>
              </w:rPr>
            </w:pPr>
            <w:r w:rsidRPr="00394606">
              <w:rPr>
                <w:rFonts w:eastAsia="Times New Roman" w:cs="Calibri"/>
                <w:b/>
                <w:bCs/>
                <w:color w:val="000000"/>
                <w:sz w:val="22"/>
                <w:szCs w:val="22"/>
                <w:lang w:eastAsia="en-GB"/>
              </w:rPr>
              <w:t>You need to re-apply </w:t>
            </w:r>
            <w:r w:rsidRPr="00394606">
              <w:rPr>
                <w:rFonts w:eastAsia="Times New Roman" w:cs="Calibri"/>
                <w:color w:val="000000"/>
                <w:sz w:val="22"/>
                <w:szCs w:val="22"/>
                <w:lang w:eastAsia="en-GB"/>
              </w:rPr>
              <w:t xml:space="preserve">to change your pre-settled status to </w:t>
            </w:r>
            <w:proofErr w:type="gramStart"/>
            <w:r w:rsidRPr="00394606">
              <w:rPr>
                <w:rFonts w:eastAsia="Times New Roman" w:cs="Calibri"/>
                <w:color w:val="000000"/>
                <w:sz w:val="22"/>
                <w:szCs w:val="22"/>
                <w:lang w:eastAsia="en-GB"/>
              </w:rPr>
              <w:t>settled</w:t>
            </w:r>
            <w:proofErr w:type="gramEnd"/>
            <w:r w:rsidRPr="00394606">
              <w:rPr>
                <w:rFonts w:eastAsia="Times New Roman" w:cs="Calibri"/>
                <w:color w:val="000000"/>
                <w:sz w:val="22"/>
                <w:szCs w:val="22"/>
                <w:lang w:eastAsia="en-GB"/>
              </w:rPr>
              <w:t xml:space="preserve"> status before your pre-settled status expires. You will be able to do this as soon as you accrue five years of "continuous residence" in the UK.</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after="240"/>
              <w:rPr>
                <w:rFonts w:eastAsia="Times New Roman" w:cs="Calibri"/>
                <w:color w:val="000000"/>
                <w:sz w:val="22"/>
                <w:szCs w:val="22"/>
                <w:lang w:eastAsia="en-GB"/>
              </w:rPr>
            </w:pPr>
            <w:r w:rsidRPr="00394606">
              <w:rPr>
                <w:rFonts w:eastAsia="Times New Roman" w:cs="Calibri"/>
                <w:b/>
                <w:bCs/>
                <w:color w:val="000000"/>
                <w:sz w:val="22"/>
                <w:szCs w:val="22"/>
                <w:lang w:eastAsia="en-GB"/>
              </w:rPr>
              <w:t>Never!</w:t>
            </w:r>
          </w:p>
          <w:p w:rsidR="00FE06BE" w:rsidRPr="00394606" w:rsidRDefault="00FE06BE" w:rsidP="00FE06BE">
            <w:pPr>
              <w:rPr>
                <w:rFonts w:eastAsia="Times New Roman" w:cs="Calibri"/>
                <w:color w:val="000000"/>
                <w:sz w:val="22"/>
                <w:szCs w:val="22"/>
                <w:lang w:eastAsia="en-GB"/>
              </w:rPr>
            </w:pPr>
            <w:r w:rsidRPr="00394606">
              <w:rPr>
                <w:rFonts w:eastAsia="Times New Roman" w:cs="Calibri"/>
                <w:b/>
                <w:bCs/>
                <w:color w:val="000000"/>
                <w:sz w:val="22"/>
                <w:szCs w:val="22"/>
                <w:lang w:eastAsia="en-GB"/>
              </w:rPr>
              <w:t>You do not need to re-apply,</w:t>
            </w:r>
          </w:p>
        </w:tc>
      </w:tr>
      <w:tr w:rsidR="00FE06BE" w:rsidRPr="00394606" w:rsidTr="00FE06BE">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rPr>
                <w:rFonts w:eastAsia="Times New Roman" w:cs="Calibri"/>
                <w:color w:val="000000"/>
                <w:sz w:val="28"/>
                <w:szCs w:val="28"/>
                <w:lang w:eastAsia="en-GB"/>
              </w:rPr>
            </w:pPr>
            <w:r w:rsidRPr="00394606">
              <w:rPr>
                <w:rFonts w:eastAsia="Times New Roman" w:cs="Calibri"/>
                <w:b/>
                <w:bCs/>
                <w:color w:val="000000"/>
                <w:sz w:val="28"/>
                <w:szCs w:val="28"/>
                <w:lang w:eastAsia="en-GB"/>
              </w:rPr>
              <w:t>What are my</w:t>
            </w:r>
            <w:r w:rsidRPr="00394606">
              <w:rPr>
                <w:rFonts w:eastAsia="Times New Roman" w:cs="Calibri"/>
                <w:b/>
                <w:bCs/>
                <w:color w:val="000000"/>
                <w:sz w:val="28"/>
                <w:szCs w:val="28"/>
                <w:lang w:eastAsia="en-GB"/>
              </w:rPr>
              <w:br/>
              <w:t>employment</w:t>
            </w:r>
            <w:r w:rsidRPr="00394606">
              <w:rPr>
                <w:rFonts w:eastAsia="Times New Roman" w:cs="Calibri"/>
                <w:b/>
                <w:bCs/>
                <w:color w:val="000000"/>
                <w:sz w:val="28"/>
                <w:szCs w:val="28"/>
                <w:lang w:eastAsia="en-GB"/>
              </w:rPr>
              <w:br/>
              <w:t>and welfare</w:t>
            </w:r>
            <w:r w:rsidRPr="00394606">
              <w:rPr>
                <w:rFonts w:eastAsia="Times New Roman" w:cs="Calibri"/>
                <w:b/>
                <w:bCs/>
                <w:color w:val="000000"/>
                <w:sz w:val="28"/>
                <w:szCs w:val="28"/>
                <w:lang w:eastAsia="en-GB"/>
              </w:rPr>
              <w:br/>
              <w:t>rights?</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after="240"/>
              <w:rPr>
                <w:rFonts w:eastAsia="Times New Roman" w:cs="Calibri"/>
                <w:color w:val="000000"/>
                <w:sz w:val="22"/>
                <w:szCs w:val="22"/>
                <w:lang w:eastAsia="en-GB"/>
              </w:rPr>
            </w:pPr>
            <w:r w:rsidRPr="00394606">
              <w:rPr>
                <w:rFonts w:eastAsia="Times New Roman" w:cs="Calibri"/>
                <w:color w:val="000000"/>
                <w:sz w:val="22"/>
                <w:szCs w:val="22"/>
                <w:lang w:eastAsia="en-GB"/>
              </w:rPr>
              <w:t>You will enjoy the same rights to live, work and healthcare, but pre-settled status </w:t>
            </w:r>
            <w:r w:rsidRPr="00394606">
              <w:rPr>
                <w:rFonts w:eastAsia="Times New Roman" w:cs="Calibri"/>
                <w:b/>
                <w:bCs/>
                <w:color w:val="000000"/>
                <w:sz w:val="22"/>
                <w:szCs w:val="22"/>
                <w:lang w:eastAsia="en-GB"/>
              </w:rPr>
              <w:t>does not count as "right to reside" for the purposes of welfare benefits. </w:t>
            </w:r>
          </w:p>
          <w:p w:rsidR="00FE06BE" w:rsidRPr="00394606" w:rsidRDefault="00FE06BE" w:rsidP="00FE06BE">
            <w:pPr>
              <w:spacing w:after="240"/>
              <w:rPr>
                <w:rFonts w:eastAsia="Times New Roman" w:cs="Calibri"/>
                <w:color w:val="000000"/>
                <w:sz w:val="22"/>
                <w:szCs w:val="22"/>
                <w:lang w:eastAsia="en-GB"/>
              </w:rPr>
            </w:pPr>
            <w:r w:rsidRPr="00394606">
              <w:rPr>
                <w:rFonts w:eastAsia="Times New Roman" w:cs="Calibri"/>
                <w:color w:val="000000"/>
                <w:sz w:val="22"/>
                <w:szCs w:val="22"/>
                <w:lang w:eastAsia="en-GB"/>
              </w:rPr>
              <w:t>To access welfare benefits you must be able to show your “right to reside” under the EEA Regulations by being a worker for example.</w:t>
            </w:r>
            <w:r w:rsidR="00394606" w:rsidRPr="00394606">
              <w:rPr>
                <w:rFonts w:eastAsia="Times New Roman" w:cs="Calibri"/>
                <w:color w:val="000000"/>
                <w:sz w:val="22"/>
                <w:szCs w:val="22"/>
                <w:lang w:eastAsia="en-GB"/>
              </w:rPr>
              <w:t xml:space="preserve"> </w:t>
            </w:r>
            <w:r w:rsidRPr="00394606">
              <w:rPr>
                <w:rFonts w:eastAsia="Times New Roman" w:cs="Calibri"/>
                <w:color w:val="000000"/>
                <w:sz w:val="22"/>
                <w:szCs w:val="22"/>
                <w:lang w:eastAsia="en-GB"/>
              </w:rPr>
              <w:t xml:space="preserve">This may not matter now but if you need to access support because of ill health, unemployment or domestic abuse you will need to demonstrate </w:t>
            </w:r>
            <w:proofErr w:type="gramStart"/>
            <w:r w:rsidRPr="00394606">
              <w:rPr>
                <w:rFonts w:eastAsia="Times New Roman" w:cs="Calibri"/>
                <w:color w:val="000000"/>
                <w:sz w:val="22"/>
                <w:szCs w:val="22"/>
                <w:lang w:eastAsia="en-GB"/>
              </w:rPr>
              <w:t>your</w:t>
            </w:r>
            <w:proofErr w:type="gramEnd"/>
            <w:r w:rsidRPr="00394606">
              <w:rPr>
                <w:rFonts w:eastAsia="Times New Roman" w:cs="Calibri"/>
                <w:color w:val="000000"/>
                <w:sz w:val="22"/>
                <w:szCs w:val="22"/>
                <w:lang w:eastAsia="en-GB"/>
              </w:rPr>
              <w:t xml:space="preserve"> “right to reside”. </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rPr>
                <w:rFonts w:eastAsia="Times New Roman" w:cs="Calibri"/>
                <w:color w:val="000000"/>
                <w:sz w:val="22"/>
                <w:szCs w:val="22"/>
                <w:lang w:eastAsia="en-GB"/>
              </w:rPr>
            </w:pPr>
            <w:r w:rsidRPr="00394606">
              <w:rPr>
                <w:rFonts w:eastAsia="Times New Roman" w:cs="Calibri"/>
                <w:color w:val="000000"/>
                <w:sz w:val="22"/>
                <w:szCs w:val="22"/>
                <w:lang w:eastAsia="en-GB"/>
              </w:rPr>
              <w:t>You will enjoy </w:t>
            </w:r>
            <w:r w:rsidRPr="00394606">
              <w:rPr>
                <w:rFonts w:eastAsia="Times New Roman" w:cs="Calibri"/>
                <w:b/>
                <w:bCs/>
                <w:color w:val="000000"/>
                <w:sz w:val="22"/>
                <w:szCs w:val="22"/>
                <w:lang w:eastAsia="en-GB"/>
              </w:rPr>
              <w:t>the same rights</w:t>
            </w:r>
            <w:r w:rsidRPr="00394606">
              <w:rPr>
                <w:rFonts w:eastAsia="Times New Roman" w:cs="Calibri"/>
                <w:color w:val="000000"/>
                <w:sz w:val="22"/>
                <w:szCs w:val="22"/>
                <w:lang w:eastAsia="en-GB"/>
              </w:rPr>
              <w:t xml:space="preserve"> to </w:t>
            </w:r>
            <w:proofErr w:type="gramStart"/>
            <w:r w:rsidRPr="00394606">
              <w:rPr>
                <w:rFonts w:eastAsia="Times New Roman" w:cs="Calibri"/>
                <w:color w:val="000000"/>
                <w:sz w:val="22"/>
                <w:szCs w:val="22"/>
                <w:lang w:eastAsia="en-GB"/>
              </w:rPr>
              <w:t>live,</w:t>
            </w:r>
            <w:proofErr w:type="gramEnd"/>
            <w:r w:rsidRPr="00394606">
              <w:rPr>
                <w:rFonts w:eastAsia="Times New Roman" w:cs="Calibri"/>
                <w:color w:val="000000"/>
                <w:sz w:val="22"/>
                <w:szCs w:val="22"/>
                <w:lang w:eastAsia="en-GB"/>
              </w:rPr>
              <w:t xml:space="preserve"> work, healthcare and welfare benefits </w:t>
            </w:r>
            <w:r w:rsidRPr="00394606">
              <w:rPr>
                <w:rFonts w:eastAsia="Times New Roman" w:cs="Calibri"/>
                <w:b/>
                <w:bCs/>
                <w:color w:val="000000"/>
                <w:sz w:val="22"/>
                <w:szCs w:val="22"/>
                <w:lang w:eastAsia="en-GB"/>
              </w:rPr>
              <w:t>as British citizens</w:t>
            </w:r>
            <w:r w:rsidRPr="00394606">
              <w:rPr>
                <w:rFonts w:eastAsia="Times New Roman" w:cs="Calibri"/>
                <w:color w:val="000000"/>
                <w:sz w:val="22"/>
                <w:szCs w:val="22"/>
                <w:lang w:eastAsia="en-GB"/>
              </w:rPr>
              <w:t> as your settled status is evidence that you have a right to reside in the UK.</w:t>
            </w:r>
          </w:p>
        </w:tc>
      </w:tr>
      <w:tr w:rsidR="00FE06BE" w:rsidRPr="00394606" w:rsidTr="00FE06BE">
        <w:tc>
          <w:tcPr>
            <w:tcW w:w="0" w:type="auto"/>
            <w:tcBorders>
              <w:top w:val="single" w:sz="6" w:space="0" w:color="666666"/>
              <w:left w:val="single" w:sz="6" w:space="0" w:color="666666"/>
              <w:bottom w:val="single" w:sz="6" w:space="0" w:color="666666"/>
              <w:right w:val="single" w:sz="6" w:space="0" w:color="666666"/>
            </w:tcBorders>
            <w:shd w:val="clear" w:color="auto" w:fill="FFFFFF"/>
            <w:noWrap/>
            <w:tcMar>
              <w:top w:w="150" w:type="dxa"/>
              <w:left w:w="150" w:type="dxa"/>
              <w:bottom w:w="150" w:type="dxa"/>
              <w:right w:w="150" w:type="dxa"/>
            </w:tcMar>
            <w:vAlign w:val="center"/>
            <w:hideMark/>
          </w:tcPr>
          <w:p w:rsidR="00FE06BE" w:rsidRPr="00394606" w:rsidRDefault="00FE06BE" w:rsidP="00CA326F">
            <w:pPr>
              <w:rPr>
                <w:rFonts w:eastAsia="Times New Roman" w:cs="Calibri"/>
                <w:color w:val="000000"/>
                <w:sz w:val="28"/>
                <w:szCs w:val="28"/>
                <w:lang w:eastAsia="en-GB"/>
              </w:rPr>
            </w:pPr>
            <w:r w:rsidRPr="00394606">
              <w:rPr>
                <w:rFonts w:eastAsia="Times New Roman" w:cs="Calibri"/>
                <w:b/>
                <w:bCs/>
                <w:color w:val="000000"/>
                <w:sz w:val="28"/>
                <w:szCs w:val="28"/>
                <w:lang w:eastAsia="en-GB"/>
              </w:rPr>
              <w:t>Can I apply</w:t>
            </w:r>
            <w:r w:rsidRPr="00394606">
              <w:rPr>
                <w:rFonts w:eastAsia="Times New Roman" w:cs="Calibri"/>
                <w:b/>
                <w:bCs/>
                <w:color w:val="000000"/>
                <w:sz w:val="28"/>
                <w:szCs w:val="28"/>
                <w:lang w:eastAsia="en-GB"/>
              </w:rPr>
              <w:br/>
              <w:t>for British</w:t>
            </w:r>
            <w:r w:rsidRPr="00394606">
              <w:rPr>
                <w:rFonts w:eastAsia="Times New Roman" w:cs="Calibri"/>
                <w:b/>
                <w:bCs/>
                <w:color w:val="000000"/>
                <w:sz w:val="28"/>
                <w:szCs w:val="28"/>
                <w:lang w:eastAsia="en-GB"/>
              </w:rPr>
              <w:br/>
              <w:t>citizenship?</w:t>
            </w:r>
          </w:p>
        </w:tc>
        <w:tc>
          <w:tcPr>
            <w:tcW w:w="5381"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rPr>
                <w:rFonts w:eastAsia="Times New Roman" w:cs="Calibri"/>
                <w:color w:val="000000"/>
                <w:sz w:val="22"/>
                <w:szCs w:val="22"/>
                <w:lang w:eastAsia="en-GB"/>
              </w:rPr>
            </w:pPr>
            <w:r w:rsidRPr="00394606">
              <w:rPr>
                <w:rFonts w:eastAsia="Times New Roman" w:cs="Calibri"/>
                <w:b/>
                <w:bCs/>
                <w:color w:val="000000"/>
                <w:sz w:val="22"/>
                <w:szCs w:val="22"/>
                <w:lang w:eastAsia="en-GB"/>
              </w:rPr>
              <w:t>No, </w:t>
            </w:r>
            <w:r w:rsidRPr="00394606">
              <w:rPr>
                <w:rFonts w:eastAsia="Times New Roman" w:cs="Calibri"/>
                <w:color w:val="000000"/>
                <w:sz w:val="22"/>
                <w:szCs w:val="22"/>
                <w:lang w:eastAsia="en-GB"/>
              </w:rPr>
              <w:t xml:space="preserve">you need to </w:t>
            </w:r>
            <w:proofErr w:type="gramStart"/>
            <w:r w:rsidRPr="00394606">
              <w:rPr>
                <w:rFonts w:eastAsia="Times New Roman" w:cs="Calibri"/>
                <w:color w:val="000000"/>
                <w:sz w:val="22"/>
                <w:szCs w:val="22"/>
                <w:lang w:eastAsia="en-GB"/>
              </w:rPr>
              <w:t>be settled</w:t>
            </w:r>
            <w:proofErr w:type="gramEnd"/>
            <w:r w:rsidRPr="00394606">
              <w:rPr>
                <w:rFonts w:eastAsia="Times New Roman" w:cs="Calibri"/>
                <w:color w:val="000000"/>
                <w:sz w:val="22"/>
                <w:szCs w:val="22"/>
                <w:lang w:eastAsia="en-GB"/>
              </w:rPr>
              <w:t xml:space="preserve"> in the UK before you can apply.</w:t>
            </w:r>
          </w:p>
        </w:tc>
        <w:tc>
          <w:tcPr>
            <w:tcW w:w="8505" w:type="dxa"/>
            <w:tcBorders>
              <w:top w:val="single" w:sz="6" w:space="0" w:color="666666"/>
              <w:left w:val="single" w:sz="6" w:space="0" w:color="666666"/>
              <w:bottom w:val="single" w:sz="6" w:space="0" w:color="666666"/>
              <w:right w:val="single" w:sz="6" w:space="0" w:color="666666"/>
            </w:tcBorders>
            <w:shd w:val="clear" w:color="auto" w:fill="FFFFFF"/>
            <w:tcMar>
              <w:top w:w="150" w:type="dxa"/>
              <w:left w:w="150" w:type="dxa"/>
              <w:bottom w:w="150" w:type="dxa"/>
              <w:right w:w="150" w:type="dxa"/>
            </w:tcMar>
            <w:vAlign w:val="center"/>
            <w:hideMark/>
          </w:tcPr>
          <w:p w:rsidR="00FE06BE" w:rsidRPr="00394606" w:rsidRDefault="00FE06BE" w:rsidP="00FE06BE">
            <w:pPr>
              <w:spacing w:after="240"/>
              <w:rPr>
                <w:rFonts w:eastAsia="Times New Roman" w:cs="Calibri"/>
                <w:color w:val="000000"/>
                <w:sz w:val="22"/>
                <w:szCs w:val="22"/>
                <w:lang w:eastAsia="en-GB"/>
              </w:rPr>
            </w:pPr>
            <w:r w:rsidRPr="00394606">
              <w:rPr>
                <w:rFonts w:eastAsia="Times New Roman" w:cs="Calibri"/>
                <w:b/>
                <w:bCs/>
                <w:color w:val="000000"/>
                <w:sz w:val="22"/>
                <w:szCs w:val="22"/>
                <w:lang w:eastAsia="en-GB"/>
              </w:rPr>
              <w:t>Yes.</w:t>
            </w:r>
            <w:r w:rsidRPr="00394606">
              <w:rPr>
                <w:rFonts w:eastAsia="Times New Roman" w:cs="Calibri"/>
                <w:color w:val="000000"/>
                <w:sz w:val="22"/>
                <w:szCs w:val="22"/>
                <w:lang w:eastAsia="en-GB"/>
              </w:rPr>
              <w:t> </w:t>
            </w:r>
            <w:proofErr w:type="gramStart"/>
            <w:r w:rsidRPr="00394606">
              <w:rPr>
                <w:rFonts w:eastAsia="Times New Roman" w:cs="Calibri"/>
                <w:color w:val="000000"/>
                <w:sz w:val="22"/>
                <w:szCs w:val="22"/>
                <w:lang w:eastAsia="en-GB"/>
              </w:rPr>
              <w:t>But</w:t>
            </w:r>
            <w:proofErr w:type="gramEnd"/>
            <w:r w:rsidRPr="00394606">
              <w:rPr>
                <w:rFonts w:eastAsia="Times New Roman" w:cs="Calibri"/>
                <w:color w:val="000000"/>
                <w:sz w:val="22"/>
                <w:szCs w:val="22"/>
                <w:lang w:eastAsia="en-GB"/>
              </w:rPr>
              <w:t xml:space="preserve"> please note, an adult can only apply to become British after holding settled status for a year - unless you are married to a British citizen in which case you can apply to become British as soon as your settled status is granted.</w:t>
            </w:r>
          </w:p>
          <w:p w:rsidR="00FE06BE" w:rsidRPr="00394606" w:rsidRDefault="00FE06BE" w:rsidP="00FE06BE">
            <w:pPr>
              <w:rPr>
                <w:rFonts w:eastAsia="Times New Roman" w:cs="Calibri"/>
                <w:color w:val="000000"/>
                <w:sz w:val="22"/>
                <w:szCs w:val="22"/>
                <w:lang w:eastAsia="en-GB"/>
              </w:rPr>
            </w:pPr>
            <w:r w:rsidRPr="00394606">
              <w:rPr>
                <w:rFonts w:eastAsia="Times New Roman" w:cs="Calibri"/>
                <w:color w:val="000000"/>
                <w:sz w:val="22"/>
                <w:szCs w:val="22"/>
                <w:lang w:eastAsia="en-GB"/>
              </w:rPr>
              <w:t>There are specific criteria that need to be met to become British and so you should check that you meet all the requirements before applying</w:t>
            </w:r>
          </w:p>
        </w:tc>
      </w:tr>
    </w:tbl>
    <w:p w:rsidR="008362A8" w:rsidRPr="00394606" w:rsidRDefault="008362A8" w:rsidP="00FE06BE">
      <w:pPr>
        <w:rPr>
          <w:rFonts w:cs="Calibri"/>
          <w:b/>
          <w:bCs/>
          <w:color w:val="000000"/>
        </w:rPr>
      </w:pPr>
    </w:p>
    <w:p w:rsidR="00FE06BE" w:rsidRPr="00394606" w:rsidRDefault="00FE06BE" w:rsidP="00FE06BE">
      <w:pPr>
        <w:rPr>
          <w:rFonts w:cs="Calibri"/>
          <w:b/>
          <w:bCs/>
          <w:color w:val="000000"/>
        </w:rPr>
      </w:pPr>
      <w:r w:rsidRPr="00394606">
        <w:rPr>
          <w:rFonts w:cs="Calibri"/>
          <w:b/>
          <w:bCs/>
          <w:color w:val="000000"/>
        </w:rPr>
        <w:t>USEFUL LINKS: -</w:t>
      </w:r>
    </w:p>
    <w:p w:rsidR="00CA326F" w:rsidRPr="00394606" w:rsidRDefault="00CA326F" w:rsidP="00FE06BE">
      <w:pPr>
        <w:rPr>
          <w:rFonts w:cs="Calibri"/>
          <w:b/>
          <w:bCs/>
          <w:color w:val="000000"/>
        </w:rPr>
      </w:pPr>
    </w:p>
    <w:p w:rsidR="00FE06BE" w:rsidRPr="00394606" w:rsidRDefault="00FE06BE" w:rsidP="00FE06BE">
      <w:pPr>
        <w:rPr>
          <w:rFonts w:cs="Calibri"/>
          <w:b/>
          <w:bCs/>
          <w:color w:val="000000"/>
        </w:rPr>
      </w:pPr>
      <w:r w:rsidRPr="00394606">
        <w:rPr>
          <w:rFonts w:cs="Calibri"/>
          <w:b/>
          <w:bCs/>
          <w:color w:val="000000"/>
        </w:rPr>
        <w:t>THERE ARE SEVERAL LINKS FOR FAMILIES/FAMILY MEMBERS WHICH ARE SELF-EXPLANATORY</w:t>
      </w:r>
    </w:p>
    <w:p w:rsidR="00FE06BE" w:rsidRDefault="00FE06BE" w:rsidP="00FE06BE">
      <w:pPr>
        <w:rPr>
          <w:rFonts w:cs="Calibri"/>
          <w:color w:val="000000"/>
        </w:rPr>
      </w:pPr>
      <w:hyperlink r:id="rId7" w:history="1">
        <w:r w:rsidRPr="00394606">
          <w:rPr>
            <w:rStyle w:val="Hyperlink"/>
            <w:rFonts w:cs="Calibri"/>
          </w:rPr>
          <w:t>https://www.gov.uk/family-permit/eu-settle</w:t>
        </w:r>
        <w:r w:rsidRPr="00394606">
          <w:rPr>
            <w:rStyle w:val="Hyperlink"/>
            <w:rFonts w:cs="Calibri"/>
          </w:rPr>
          <w:t>m</w:t>
        </w:r>
        <w:r w:rsidRPr="00394606">
          <w:rPr>
            <w:rStyle w:val="Hyperlink"/>
            <w:rFonts w:cs="Calibri"/>
          </w:rPr>
          <w:t>ent-scheme-family-permit</w:t>
        </w:r>
      </w:hyperlink>
    </w:p>
    <w:p w:rsidR="00497070" w:rsidRDefault="00497070" w:rsidP="00FE06BE">
      <w:pPr>
        <w:rPr>
          <w:rFonts w:cs="Calibri"/>
          <w:color w:val="000000"/>
        </w:rPr>
      </w:pPr>
    </w:p>
    <w:p w:rsidR="00497070" w:rsidRPr="00497070" w:rsidRDefault="00497070" w:rsidP="00FE06BE">
      <w:pPr>
        <w:rPr>
          <w:rFonts w:cs="Calibri"/>
          <w:b/>
          <w:bCs/>
          <w:color w:val="000000"/>
        </w:rPr>
      </w:pPr>
      <w:r w:rsidRPr="00497070">
        <w:rPr>
          <w:rFonts w:cs="Calibri"/>
          <w:b/>
          <w:bCs/>
          <w:color w:val="000000"/>
        </w:rPr>
        <w:t>CHECKING SHARE CODE</w:t>
      </w:r>
    </w:p>
    <w:p w:rsidR="00497070" w:rsidRDefault="00497070" w:rsidP="00FE06BE">
      <w:pPr>
        <w:rPr>
          <w:rFonts w:cs="Calibri"/>
          <w:color w:val="000000"/>
        </w:rPr>
      </w:pPr>
    </w:p>
    <w:p w:rsidR="00497070" w:rsidRDefault="00497070" w:rsidP="00FE06BE">
      <w:pPr>
        <w:rPr>
          <w:rFonts w:cs="Calibri"/>
          <w:color w:val="000000"/>
        </w:rPr>
      </w:pPr>
      <w:hyperlink r:id="rId8" w:history="1">
        <w:r w:rsidRPr="00B4598D">
          <w:rPr>
            <w:rStyle w:val="Hyperlink"/>
            <w:rFonts w:cs="Calibri"/>
          </w:rPr>
          <w:t>https://www.gov.uk/check-immigration-status</w:t>
        </w:r>
      </w:hyperlink>
    </w:p>
    <w:p w:rsidR="00497070" w:rsidRPr="00394606" w:rsidRDefault="00497070" w:rsidP="00FE06BE">
      <w:pPr>
        <w:rPr>
          <w:rFonts w:cs="Calibri"/>
          <w:color w:val="000000"/>
        </w:rPr>
      </w:pPr>
    </w:p>
    <w:p w:rsidR="00FE06BE" w:rsidRPr="00394606" w:rsidRDefault="00FE06BE" w:rsidP="00FE06BE">
      <w:pPr>
        <w:rPr>
          <w:rFonts w:cs="Calibri"/>
          <w:color w:val="000000"/>
        </w:rPr>
      </w:pPr>
    </w:p>
    <w:p w:rsidR="00FE06BE" w:rsidRPr="00394606" w:rsidRDefault="00CA326F" w:rsidP="00FE06BE">
      <w:pPr>
        <w:rPr>
          <w:rFonts w:cs="Calibri"/>
          <w:b/>
          <w:bCs/>
          <w:color w:val="000000"/>
        </w:rPr>
      </w:pPr>
      <w:r w:rsidRPr="00394606">
        <w:rPr>
          <w:rFonts w:cs="Calibri"/>
          <w:b/>
          <w:bCs/>
          <w:color w:val="000000"/>
        </w:rPr>
        <w:t>THE USER GUIDE FOR LANDLORDS &amp; TENANTS – UPDATED NOVEMBER 2020</w:t>
      </w:r>
    </w:p>
    <w:p w:rsidR="00CA326F" w:rsidRPr="00394606" w:rsidRDefault="00CA326F" w:rsidP="00FE06BE">
      <w:pPr>
        <w:rPr>
          <w:rFonts w:cs="Calibri"/>
          <w:color w:val="000000"/>
        </w:rPr>
      </w:pPr>
    </w:p>
    <w:p w:rsidR="00CA326F" w:rsidRPr="00394606" w:rsidRDefault="00CA326F" w:rsidP="00FE06BE">
      <w:pPr>
        <w:rPr>
          <w:rFonts w:cs="Calibri"/>
          <w:color w:val="000000"/>
        </w:rPr>
      </w:pPr>
      <w:hyperlink r:id="rId9" w:history="1">
        <w:r w:rsidRPr="00394606">
          <w:rPr>
            <w:rStyle w:val="Hyperlink"/>
            <w:rFonts w:cs="Calibri"/>
          </w:rPr>
          <w:t>https://assets.publishing.service.gov.uk/government/uploads/system/uploads/attachment_data/file/931769/Right_to_Rent_Checks_A_user_guide_for_tenants_and_landlords.pdf</w:t>
        </w:r>
      </w:hyperlink>
    </w:p>
    <w:p w:rsidR="00394606" w:rsidRPr="00394606" w:rsidRDefault="00394606" w:rsidP="00FE06BE">
      <w:pPr>
        <w:rPr>
          <w:rFonts w:cs="Calibri"/>
          <w:color w:val="000000"/>
        </w:rPr>
      </w:pPr>
    </w:p>
    <w:p w:rsid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b/>
          <w:bCs/>
          <w:color w:val="161616"/>
        </w:rPr>
        <w:t>EU Settlement Scheme Resolution Centre</w:t>
      </w:r>
    </w:p>
    <w:p w:rsid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color w:val="161616"/>
        </w:rPr>
        <w:t>Telephone: 0300 123 7379</w:t>
      </w:r>
    </w:p>
    <w:p w:rsid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color w:val="161616"/>
        </w:rPr>
        <w:t>From outside the UK: +44 203 875 4669 </w:t>
      </w:r>
    </w:p>
    <w:p w:rsid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color w:val="161616"/>
        </w:rPr>
        <w:t>Monday to Friday, 8am to 8pm</w:t>
      </w:r>
    </w:p>
    <w:p w:rsid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color w:val="161616"/>
        </w:rPr>
        <w:t>Saturday and Sunday, 9.30am to 4.30pm</w:t>
      </w:r>
    </w:p>
    <w:p w:rsidR="00394606" w:rsidRPr="00394606" w:rsidRDefault="00394606" w:rsidP="00394606">
      <w:pPr>
        <w:pStyle w:val="NormalWeb"/>
        <w:spacing w:before="0" w:beforeAutospacing="0" w:after="0" w:afterAutospacing="0"/>
        <w:rPr>
          <w:rFonts w:ascii="Open Sans" w:hAnsi="Open Sans" w:cs="Open Sans"/>
          <w:color w:val="161616"/>
        </w:rPr>
      </w:pPr>
      <w:r>
        <w:rPr>
          <w:rFonts w:ascii="Open Sans" w:hAnsi="Open Sans" w:cs="Open Sans"/>
          <w:color w:val="161616"/>
        </w:rPr>
        <w:t>You can</w:t>
      </w:r>
      <w:r>
        <w:rPr>
          <w:rStyle w:val="apple-converted-space"/>
          <w:rFonts w:ascii="Open Sans" w:hAnsi="Open Sans" w:cs="Open Sans"/>
          <w:color w:val="161616"/>
        </w:rPr>
        <w:t> </w:t>
      </w:r>
      <w:hyperlink r:id="rId10" w:history="1">
        <w:r>
          <w:rPr>
            <w:rStyle w:val="Hyperlink"/>
            <w:rFonts w:ascii="Open Sans" w:hAnsi="Open Sans" w:cs="Open Sans"/>
            <w:color w:val="8F3EA3"/>
          </w:rPr>
          <w:t>ask a question about the scheme</w:t>
        </w:r>
      </w:hyperlink>
      <w:r>
        <w:rPr>
          <w:rStyle w:val="apple-converted-space"/>
          <w:rFonts w:ascii="Open Sans" w:hAnsi="Open Sans" w:cs="Open Sans"/>
          <w:color w:val="161616"/>
        </w:rPr>
        <w:t> </w:t>
      </w:r>
      <w:r>
        <w:rPr>
          <w:rFonts w:ascii="Open Sans" w:hAnsi="Open Sans" w:cs="Open Sans"/>
          <w:color w:val="161616"/>
        </w:rPr>
        <w:t xml:space="preserve">on GOV.UK - </w:t>
      </w:r>
      <w:proofErr w:type="gramStart"/>
      <w:r>
        <w:rPr>
          <w:rFonts w:ascii="Open Sans" w:hAnsi="Open Sans" w:cs="Open Sans"/>
          <w:color w:val="161616"/>
        </w:rPr>
        <w:t>they'll</w:t>
      </w:r>
      <w:proofErr w:type="gramEnd"/>
      <w:r>
        <w:rPr>
          <w:rFonts w:ascii="Open Sans" w:hAnsi="Open Sans" w:cs="Open Sans"/>
          <w:color w:val="161616"/>
        </w:rPr>
        <w:t xml:space="preserve"> reply within 5 working days.</w:t>
      </w:r>
    </w:p>
    <w:p w:rsidR="00CA326F" w:rsidRPr="00394606" w:rsidRDefault="00CA326F" w:rsidP="00CA326F">
      <w:pPr>
        <w:spacing w:before="360" w:after="360" w:line="360" w:lineRule="atLeast"/>
        <w:jc w:val="both"/>
        <w:rPr>
          <w:rFonts w:eastAsia="Times New Roman" w:cs="Calibri"/>
          <w:b/>
          <w:bCs/>
          <w:color w:val="000000"/>
          <w:lang w:eastAsia="en-GB"/>
        </w:rPr>
      </w:pPr>
      <w:r w:rsidRPr="00394606">
        <w:rPr>
          <w:rFonts w:eastAsia="Times New Roman" w:cs="Calibri"/>
          <w:b/>
          <w:bCs/>
          <w:color w:val="000000"/>
          <w:lang w:eastAsia="en-GB"/>
        </w:rPr>
        <w:t>KEY INFORMATION</w:t>
      </w:r>
    </w:p>
    <w:p w:rsidR="00CA326F" w:rsidRPr="00394606" w:rsidRDefault="00CA326F" w:rsidP="00CA326F">
      <w:pPr>
        <w:jc w:val="both"/>
        <w:rPr>
          <w:rFonts w:eastAsia="Times New Roman" w:cs="Calibri"/>
          <w:color w:val="000000"/>
          <w:sz w:val="22"/>
          <w:szCs w:val="22"/>
          <w:lang w:eastAsia="en-GB"/>
        </w:rPr>
      </w:pPr>
      <w:r w:rsidRPr="00394606">
        <w:rPr>
          <w:rFonts w:eastAsia="Times New Roman" w:cs="Calibri"/>
          <w:color w:val="000000"/>
          <w:sz w:val="22"/>
          <w:szCs w:val="22"/>
          <w:lang w:eastAsia="en-GB"/>
        </w:rPr>
        <w:t xml:space="preserve">Applying to EUSS is mandatory for all EU citizens (excluding Irish, for whom is voluntary) and their non-EU family members, if they wish to remain in the UK, with a deadline for applying set on 30 June 2021 for those who are resident in the UK by 31 December 2020. </w:t>
      </w:r>
    </w:p>
    <w:p w:rsidR="00CA326F" w:rsidRPr="00394606" w:rsidRDefault="00394606" w:rsidP="00CA326F">
      <w:pPr>
        <w:spacing w:before="360" w:after="360" w:line="360" w:lineRule="atLeast"/>
        <w:jc w:val="both"/>
        <w:rPr>
          <w:rFonts w:eastAsia="Times New Roman" w:cs="Calibri"/>
          <w:b/>
          <w:bCs/>
          <w:color w:val="000000"/>
          <w:sz w:val="22"/>
          <w:szCs w:val="22"/>
          <w:lang w:eastAsia="en-GB"/>
        </w:rPr>
      </w:pPr>
      <w:proofErr w:type="gramStart"/>
      <w:r w:rsidRPr="00394606">
        <w:rPr>
          <w:rFonts w:eastAsia="Times New Roman" w:cs="Calibri"/>
          <w:color w:val="000000"/>
          <w:sz w:val="22"/>
          <w:szCs w:val="22"/>
          <w:lang w:eastAsia="en-GB"/>
        </w:rPr>
        <w:t>I</w:t>
      </w:r>
      <w:r w:rsidR="00CA326F" w:rsidRPr="00394606">
        <w:rPr>
          <w:rFonts w:eastAsia="Times New Roman" w:cs="Calibri"/>
          <w:color w:val="000000"/>
          <w:sz w:val="22"/>
          <w:szCs w:val="22"/>
          <w:lang w:eastAsia="en-GB"/>
        </w:rPr>
        <w:t xml:space="preserve">f an EU, EEA or Swiss citizen has not made an application to the EU Settlement Scheme by 30 June 2021, </w:t>
      </w:r>
      <w:r w:rsidR="00CA326F" w:rsidRPr="00394606">
        <w:rPr>
          <w:rFonts w:eastAsia="Times New Roman" w:cs="Calibri"/>
          <w:b/>
          <w:bCs/>
          <w:color w:val="000000"/>
          <w:sz w:val="22"/>
          <w:szCs w:val="22"/>
          <w:lang w:eastAsia="en-GB"/>
        </w:rPr>
        <w:t>they will become unlawfully present and will be at risk of losing access to employment and benefits, as well as being subject to other sanctions, such as being unable to rent from a private landlord in England or get free secondary healthcare.</w:t>
      </w:r>
      <w:proofErr w:type="gramEnd"/>
      <w:r w:rsidR="00CA326F" w:rsidRPr="00394606">
        <w:rPr>
          <w:rFonts w:eastAsia="Times New Roman" w:cs="Calibri"/>
          <w:b/>
          <w:bCs/>
          <w:color w:val="000000"/>
          <w:sz w:val="22"/>
          <w:szCs w:val="22"/>
          <w:lang w:eastAsia="en-GB"/>
        </w:rPr>
        <w:t xml:space="preserve"> They could also be subject to Home Office enforcement action.</w:t>
      </w:r>
    </w:p>
    <w:p w:rsidR="00CA326F" w:rsidRPr="00394606" w:rsidRDefault="00CA326F" w:rsidP="00CA326F">
      <w:pPr>
        <w:spacing w:before="360" w:after="360" w:line="360" w:lineRule="atLeast"/>
        <w:jc w:val="both"/>
        <w:rPr>
          <w:rFonts w:eastAsia="Times New Roman" w:cs="Calibri"/>
          <w:color w:val="000000"/>
          <w:sz w:val="22"/>
          <w:szCs w:val="22"/>
          <w:lang w:eastAsia="en-GB"/>
        </w:rPr>
      </w:pPr>
      <w:r w:rsidRPr="00394606">
        <w:rPr>
          <w:rFonts w:eastAsia="Times New Roman" w:cs="Calibri"/>
          <w:color w:val="000000"/>
          <w:sz w:val="22"/>
          <w:szCs w:val="22"/>
          <w:lang w:eastAsia="en-GB"/>
        </w:rPr>
        <w:t xml:space="preserve">The Home Office has said, beyond 30 June 2021, late applications will be entertained if there is a ‘reasonable excuse’ for the delay. What reasonable excuse entails or means could be wide-ranging and it is unknown until it happens. Some examples of reasonable grounds </w:t>
      </w:r>
      <w:proofErr w:type="gramStart"/>
      <w:r w:rsidRPr="00394606">
        <w:rPr>
          <w:rFonts w:eastAsia="Times New Roman" w:cs="Calibri"/>
          <w:color w:val="000000"/>
          <w:sz w:val="22"/>
          <w:szCs w:val="22"/>
          <w:lang w:eastAsia="en-GB"/>
        </w:rPr>
        <w:t>have been provided</w:t>
      </w:r>
      <w:proofErr w:type="gramEnd"/>
      <w:r w:rsidRPr="00394606">
        <w:rPr>
          <w:rFonts w:eastAsia="Times New Roman" w:cs="Calibri"/>
          <w:color w:val="000000"/>
          <w:sz w:val="22"/>
          <w:szCs w:val="22"/>
          <w:lang w:eastAsia="en-GB"/>
        </w:rPr>
        <w:t>:</w:t>
      </w:r>
    </w:p>
    <w:p w:rsidR="00CA326F" w:rsidRPr="00394606" w:rsidRDefault="00CA326F" w:rsidP="00CA326F">
      <w:pPr>
        <w:numPr>
          <w:ilvl w:val="0"/>
          <w:numId w:val="3"/>
        </w:numPr>
        <w:spacing w:before="100" w:beforeAutospacing="1" w:after="100" w:afterAutospacing="1" w:line="360" w:lineRule="atLeast"/>
        <w:jc w:val="both"/>
        <w:rPr>
          <w:rFonts w:eastAsia="Times New Roman" w:cs="Calibri"/>
          <w:color w:val="000000"/>
          <w:sz w:val="22"/>
          <w:szCs w:val="22"/>
          <w:lang w:eastAsia="en-GB"/>
        </w:rPr>
      </w:pPr>
      <w:r w:rsidRPr="00394606">
        <w:rPr>
          <w:rFonts w:eastAsia="Times New Roman" w:cs="Calibri"/>
          <w:color w:val="000000"/>
          <w:sz w:val="22"/>
          <w:szCs w:val="22"/>
          <w:lang w:eastAsia="en-GB"/>
        </w:rPr>
        <w:t>Children whose parent, guardian or local authority fails to apply on their behalf</w:t>
      </w:r>
    </w:p>
    <w:p w:rsidR="00CA326F" w:rsidRPr="00394606" w:rsidRDefault="00CA326F" w:rsidP="00CA326F">
      <w:pPr>
        <w:numPr>
          <w:ilvl w:val="0"/>
          <w:numId w:val="3"/>
        </w:numPr>
        <w:spacing w:before="100" w:beforeAutospacing="1" w:after="100" w:afterAutospacing="1" w:line="360" w:lineRule="atLeast"/>
        <w:jc w:val="both"/>
        <w:rPr>
          <w:rFonts w:eastAsia="Times New Roman" w:cs="Calibri"/>
          <w:color w:val="000000"/>
          <w:sz w:val="22"/>
          <w:szCs w:val="22"/>
          <w:lang w:eastAsia="en-GB"/>
        </w:rPr>
      </w:pPr>
      <w:r w:rsidRPr="00394606">
        <w:rPr>
          <w:rFonts w:eastAsia="Times New Roman" w:cs="Calibri"/>
          <w:color w:val="000000"/>
          <w:sz w:val="22"/>
          <w:szCs w:val="22"/>
          <w:lang w:eastAsia="en-GB"/>
        </w:rPr>
        <w:t>People in abusive or controlling relationships who were prevented from applying</w:t>
      </w:r>
    </w:p>
    <w:p w:rsidR="00CA326F" w:rsidRPr="00394606" w:rsidRDefault="00CA326F" w:rsidP="00CA326F">
      <w:pPr>
        <w:numPr>
          <w:ilvl w:val="0"/>
          <w:numId w:val="3"/>
        </w:numPr>
        <w:spacing w:before="100" w:beforeAutospacing="1" w:after="100" w:afterAutospacing="1" w:line="360" w:lineRule="atLeast"/>
        <w:jc w:val="both"/>
        <w:rPr>
          <w:rFonts w:eastAsia="Times New Roman" w:cs="Calibri"/>
          <w:color w:val="000000"/>
          <w:sz w:val="22"/>
          <w:szCs w:val="22"/>
          <w:lang w:eastAsia="en-GB"/>
        </w:rPr>
      </w:pPr>
      <w:r w:rsidRPr="00394606">
        <w:rPr>
          <w:rFonts w:eastAsia="Times New Roman" w:cs="Calibri"/>
          <w:color w:val="000000"/>
          <w:sz w:val="22"/>
          <w:szCs w:val="22"/>
          <w:lang w:eastAsia="en-GB"/>
        </w:rPr>
        <w:t>Those who lack the physical or mental capacity to apply.</w:t>
      </w:r>
    </w:p>
    <w:p w:rsidR="00CA326F" w:rsidRPr="00394606" w:rsidRDefault="00CA326F" w:rsidP="00FE06BE">
      <w:pPr>
        <w:rPr>
          <w:rFonts w:cs="Calibri"/>
          <w:color w:val="000000"/>
          <w:sz w:val="28"/>
          <w:szCs w:val="28"/>
        </w:rPr>
      </w:pPr>
    </w:p>
    <w:sectPr w:rsidR="00CA326F" w:rsidRPr="00394606" w:rsidSect="00CA326F">
      <w:head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39" w:rsidRDefault="009C6D39" w:rsidP="00CF1CB9">
      <w:r>
        <w:separator/>
      </w:r>
    </w:p>
  </w:endnote>
  <w:endnote w:type="continuationSeparator" w:id="0">
    <w:p w:rsidR="009C6D39" w:rsidRDefault="009C6D39" w:rsidP="00CF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39" w:rsidRDefault="009C6D39" w:rsidP="00CF1CB9">
      <w:r>
        <w:separator/>
      </w:r>
    </w:p>
  </w:footnote>
  <w:footnote w:type="continuationSeparator" w:id="0">
    <w:p w:rsidR="009C6D39" w:rsidRDefault="009C6D39" w:rsidP="00CF1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CB9" w:rsidRDefault="00CF1CB9" w:rsidP="00CF1CB9">
    <w:pPr>
      <w:pStyle w:val="Header"/>
      <w:jc w:val="right"/>
    </w:pPr>
    <w:r>
      <w:t>PLEASE NOTE – THIS INFORMATION DOES NOT DENOTE LEGAL ADVICE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5FA0"/>
    <w:multiLevelType w:val="multilevel"/>
    <w:tmpl w:val="9464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80B90"/>
    <w:multiLevelType w:val="multilevel"/>
    <w:tmpl w:val="705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75254"/>
    <w:multiLevelType w:val="multilevel"/>
    <w:tmpl w:val="43C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BE"/>
    <w:rsid w:val="002A4D59"/>
    <w:rsid w:val="003539A5"/>
    <w:rsid w:val="00394606"/>
    <w:rsid w:val="00497070"/>
    <w:rsid w:val="008362A8"/>
    <w:rsid w:val="008D3FBC"/>
    <w:rsid w:val="0099044F"/>
    <w:rsid w:val="009C6D39"/>
    <w:rsid w:val="00A94594"/>
    <w:rsid w:val="00CA326F"/>
    <w:rsid w:val="00CF1CB9"/>
    <w:rsid w:val="00F3111C"/>
    <w:rsid w:val="00FE0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7C2E6-0C69-4A32-9C2E-0B522CB7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E06BE"/>
    <w:rPr>
      <w:b/>
      <w:bCs/>
    </w:rPr>
  </w:style>
  <w:style w:type="character" w:customStyle="1" w:styleId="apple-converted-space">
    <w:name w:val="apple-converted-space"/>
    <w:basedOn w:val="DefaultParagraphFont"/>
    <w:rsid w:val="00FE06BE"/>
  </w:style>
  <w:style w:type="paragraph" w:styleId="NormalWeb">
    <w:name w:val="Normal (Web)"/>
    <w:basedOn w:val="Normal"/>
    <w:uiPriority w:val="99"/>
    <w:unhideWhenUsed/>
    <w:rsid w:val="00FE06BE"/>
    <w:pPr>
      <w:spacing w:before="100" w:beforeAutospacing="1" w:after="100" w:afterAutospacing="1"/>
    </w:pPr>
    <w:rPr>
      <w:rFonts w:ascii="Times New Roman" w:eastAsia="Times New Roman" w:hAnsi="Times New Roman"/>
      <w:lang w:eastAsia="en-GB"/>
    </w:rPr>
  </w:style>
  <w:style w:type="character" w:styleId="Hyperlink">
    <w:name w:val="Hyperlink"/>
    <w:uiPriority w:val="99"/>
    <w:unhideWhenUsed/>
    <w:rsid w:val="00FE06BE"/>
    <w:rPr>
      <w:color w:val="0563C1"/>
      <w:u w:val="single"/>
    </w:rPr>
  </w:style>
  <w:style w:type="character" w:customStyle="1" w:styleId="UnresolvedMention">
    <w:name w:val="Unresolved Mention"/>
    <w:uiPriority w:val="99"/>
    <w:semiHidden/>
    <w:unhideWhenUsed/>
    <w:rsid w:val="00FE06BE"/>
    <w:rPr>
      <w:color w:val="605E5C"/>
      <w:shd w:val="clear" w:color="auto" w:fill="E1DFDD"/>
    </w:rPr>
  </w:style>
  <w:style w:type="paragraph" w:styleId="Header">
    <w:name w:val="header"/>
    <w:basedOn w:val="Normal"/>
    <w:link w:val="HeaderChar"/>
    <w:uiPriority w:val="99"/>
    <w:unhideWhenUsed/>
    <w:rsid w:val="00CF1CB9"/>
    <w:pPr>
      <w:tabs>
        <w:tab w:val="center" w:pos="4513"/>
        <w:tab w:val="right" w:pos="9026"/>
      </w:tabs>
    </w:pPr>
  </w:style>
  <w:style w:type="character" w:customStyle="1" w:styleId="HeaderChar">
    <w:name w:val="Header Char"/>
    <w:link w:val="Header"/>
    <w:uiPriority w:val="99"/>
    <w:rsid w:val="00CF1CB9"/>
    <w:rPr>
      <w:sz w:val="24"/>
      <w:szCs w:val="24"/>
      <w:lang w:eastAsia="en-US"/>
    </w:rPr>
  </w:style>
  <w:style w:type="paragraph" w:styleId="Footer">
    <w:name w:val="footer"/>
    <w:basedOn w:val="Normal"/>
    <w:link w:val="FooterChar"/>
    <w:uiPriority w:val="99"/>
    <w:unhideWhenUsed/>
    <w:rsid w:val="00CF1CB9"/>
    <w:pPr>
      <w:tabs>
        <w:tab w:val="center" w:pos="4513"/>
        <w:tab w:val="right" w:pos="9026"/>
      </w:tabs>
    </w:pPr>
  </w:style>
  <w:style w:type="character" w:customStyle="1" w:styleId="FooterChar">
    <w:name w:val="Footer Char"/>
    <w:link w:val="Footer"/>
    <w:uiPriority w:val="99"/>
    <w:rsid w:val="00CF1CB9"/>
    <w:rPr>
      <w:sz w:val="24"/>
      <w:szCs w:val="24"/>
      <w:lang w:eastAsia="en-US"/>
    </w:rPr>
  </w:style>
  <w:style w:type="character" w:styleId="FollowedHyperlink">
    <w:name w:val="FollowedHyperlink"/>
    <w:uiPriority w:val="99"/>
    <w:semiHidden/>
    <w:unhideWhenUsed/>
    <w:rsid w:val="0049707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92963">
      <w:bodyDiv w:val="1"/>
      <w:marLeft w:val="0"/>
      <w:marRight w:val="0"/>
      <w:marTop w:val="0"/>
      <w:marBottom w:val="0"/>
      <w:divBdr>
        <w:top w:val="none" w:sz="0" w:space="0" w:color="auto"/>
        <w:left w:val="none" w:sz="0" w:space="0" w:color="auto"/>
        <w:bottom w:val="none" w:sz="0" w:space="0" w:color="auto"/>
        <w:right w:val="none" w:sz="0" w:space="0" w:color="auto"/>
      </w:divBdr>
    </w:div>
    <w:div w:id="706182043">
      <w:bodyDiv w:val="1"/>
      <w:marLeft w:val="0"/>
      <w:marRight w:val="0"/>
      <w:marTop w:val="0"/>
      <w:marBottom w:val="0"/>
      <w:divBdr>
        <w:top w:val="none" w:sz="0" w:space="0" w:color="auto"/>
        <w:left w:val="none" w:sz="0" w:space="0" w:color="auto"/>
        <w:bottom w:val="none" w:sz="0" w:space="0" w:color="auto"/>
        <w:right w:val="none" w:sz="0" w:space="0" w:color="auto"/>
      </w:divBdr>
    </w:div>
    <w:div w:id="1312101787">
      <w:bodyDiv w:val="1"/>
      <w:marLeft w:val="0"/>
      <w:marRight w:val="0"/>
      <w:marTop w:val="0"/>
      <w:marBottom w:val="0"/>
      <w:divBdr>
        <w:top w:val="none" w:sz="0" w:space="0" w:color="auto"/>
        <w:left w:val="none" w:sz="0" w:space="0" w:color="auto"/>
        <w:bottom w:val="none" w:sz="0" w:space="0" w:color="auto"/>
        <w:right w:val="none" w:sz="0" w:space="0" w:color="auto"/>
      </w:divBdr>
    </w:div>
    <w:div w:id="1369909911">
      <w:bodyDiv w:val="1"/>
      <w:marLeft w:val="0"/>
      <w:marRight w:val="0"/>
      <w:marTop w:val="0"/>
      <w:marBottom w:val="0"/>
      <w:divBdr>
        <w:top w:val="none" w:sz="0" w:space="0" w:color="auto"/>
        <w:left w:val="none" w:sz="0" w:space="0" w:color="auto"/>
        <w:bottom w:val="none" w:sz="0" w:space="0" w:color="auto"/>
        <w:right w:val="none" w:sz="0" w:space="0" w:color="auto"/>
      </w:divBdr>
    </w:div>
    <w:div w:id="18125569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heck-immigration-sta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family-permit/eu-settlement-scheme-family-perm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settled-status-enquiries.service.gov.uk/start"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31769/Right_to_Rent_Checks_A_user_guide_for_tenants_and_landl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Links>
    <vt:vector size="24" baseType="variant">
      <vt:variant>
        <vt:i4>1114117</vt:i4>
      </vt:variant>
      <vt:variant>
        <vt:i4>9</vt:i4>
      </vt:variant>
      <vt:variant>
        <vt:i4>0</vt:i4>
      </vt:variant>
      <vt:variant>
        <vt:i4>5</vt:i4>
      </vt:variant>
      <vt:variant>
        <vt:lpwstr>https://eu-settled-status-enquiries.service.gov.uk/start</vt:lpwstr>
      </vt:variant>
      <vt:variant>
        <vt:lpwstr/>
      </vt:variant>
      <vt:variant>
        <vt:i4>2228228</vt:i4>
      </vt:variant>
      <vt:variant>
        <vt:i4>6</vt:i4>
      </vt:variant>
      <vt:variant>
        <vt:i4>0</vt:i4>
      </vt:variant>
      <vt:variant>
        <vt:i4>5</vt:i4>
      </vt:variant>
      <vt:variant>
        <vt:lpwstr>https://assets.publishing.service.gov.uk/government/uploads/system/uploads/attachment_data/file/931769/Right_to_Rent_Checks_A_user_guide_for_tenants_and_landlords.pdf</vt:lpwstr>
      </vt:variant>
      <vt:variant>
        <vt:lpwstr/>
      </vt:variant>
      <vt:variant>
        <vt:i4>7143533</vt:i4>
      </vt:variant>
      <vt:variant>
        <vt:i4>3</vt:i4>
      </vt:variant>
      <vt:variant>
        <vt:i4>0</vt:i4>
      </vt:variant>
      <vt:variant>
        <vt:i4>5</vt:i4>
      </vt:variant>
      <vt:variant>
        <vt:lpwstr>https://www.gov.uk/check-immigration-status</vt:lpwstr>
      </vt:variant>
      <vt:variant>
        <vt:lpwstr/>
      </vt:variant>
      <vt:variant>
        <vt:i4>3670063</vt:i4>
      </vt:variant>
      <vt:variant>
        <vt:i4>0</vt:i4>
      </vt:variant>
      <vt:variant>
        <vt:i4>0</vt:i4>
      </vt:variant>
      <vt:variant>
        <vt:i4>5</vt:i4>
      </vt:variant>
      <vt:variant>
        <vt:lpwstr>https://www.gov.uk/family-permit/eu-settlement-scheme-family-permit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Assunta Crolla</dc:creator>
  <cp:keywords/>
  <dc:description/>
  <cp:lastModifiedBy>Lisa Gray</cp:lastModifiedBy>
  <cp:revision>2</cp:revision>
  <cp:lastPrinted>2021-05-25T14:51:00Z</cp:lastPrinted>
  <dcterms:created xsi:type="dcterms:W3CDTF">2021-05-25T15:09:00Z</dcterms:created>
  <dcterms:modified xsi:type="dcterms:W3CDTF">2021-05-25T15:09:00Z</dcterms:modified>
</cp:coreProperties>
</file>